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C9A961"/>
        </w:rPr>
        <w:t>Agentic Risk Register</w:t>
      </w:r>
    </w:p>
    <w:p/>
    <w:p>
      <w:pPr>
        <w:ind w:left="432"/>
      </w:pPr>
      <w:r>
        <w:rPr>
          <w:i/>
        </w:rPr>
        <w:t>**From The Agentic TPM, Chapter 4.** Every gate review in an agentic program should explicitly assess these seven risk categories. Programs that ship without this discipline ship without knowing how they will fail.</w:t>
      </w:r>
    </w:p>
    <w:p/>
    <w:p/>
    <w:p/>
    <w:p>
      <w:pPr>
        <w:pStyle w:val="Heading2"/>
      </w:pPr>
      <w:r>
        <w:rPr>
          <w:color w:val="C9A961"/>
        </w:rPr>
        <w:t>Program metadata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Field</w:t>
            </w:r>
          </w:p>
        </w:tc>
        <w:tc>
          <w:tcPr>
            <w:tcW w:type="dxa" w:w="5040"/>
          </w:tcPr>
          <w:p>
            <w:r>
              <w:t>Value</w:t>
            </w:r>
          </w:p>
        </w:tc>
      </w:tr>
      <w:tr>
        <w:tc>
          <w:tcPr>
            <w:tcW w:type="dxa" w:w="5040"/>
          </w:tcPr>
          <w:p>
            <w:r>
              <w:t>Program name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Program owner (Accountable)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Gate being reviewed</w:t>
            </w:r>
          </w:p>
        </w:tc>
        <w:tc>
          <w:tcPr>
            <w:tcW w:type="dxa" w:w="5040"/>
          </w:tcPr>
          <w:p>
            <w:r>
              <w:t>CC / RI / AC / DC / EC</w:t>
            </w:r>
          </w:p>
        </w:tc>
      </w:tr>
      <w:tr>
        <w:tc>
          <w:tcPr>
            <w:tcW w:type="dxa" w:w="5040"/>
          </w:tcPr>
          <w:p>
            <w:r>
              <w:t>Review date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Reviewer(s)</w:t>
            </w:r>
          </w:p>
        </w:tc>
        <w:tc>
          <w:tcPr>
            <w:tcW w:type="dxa" w:w="5040"/>
          </w:tcPr>
          <w:p>
            <w:r/>
          </w:p>
        </w:tc>
      </w:tr>
    </w:tbl>
    <w:p/>
    <w:p/>
    <w:p/>
    <w:p>
      <w:pPr>
        <w:pStyle w:val="Heading2"/>
      </w:pPr>
      <w:r>
        <w:rPr>
          <w:color w:val="C9A961"/>
        </w:rPr>
        <w:t>Risk assessment</w:t>
      </w:r>
    </w:p>
    <w:p/>
    <w:p>
      <w:r>
        <w:t>For each category: rate current exposure (LOW / MEDIUM / HIGH), name the primary risk, name the mitigation, and name the owner.</w:t>
      </w:r>
    </w:p>
    <w:p/>
    <w:p>
      <w:pPr>
        <w:pStyle w:val="Heading3"/>
      </w:pPr>
      <w:r>
        <w:t>1. Model risk</w:t>
      </w:r>
    </w:p>
    <w:p/>
    <w:p>
      <w:r>
        <w:t>The foundation model can change, regress, be deprecated, or have its pricing altered with little notice. The risk lives outside your team.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*(model abstraction layer / multi-model fallback / eval-monitored regression detection)*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2. Context risk</w:t>
      </w:r>
    </w:p>
    <w:p/>
    <w:p>
      <w:r>
        <w:t>The information the agent operates on can be wrong, stale, contradictory, or fragmented. Agents do not flag missing context; they fill the gap with plausible invention.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*(context infrastructure / four-layer nested memory / retrieval audits)*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3. Compute risk</w:t>
      </w:r>
    </w:p>
    <w:p/>
    <w:p>
      <w:r>
        <w:t>Token budgets exceeded, runaway loops, sudden inference cost spikes during scaling.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*(autonomous financial guardrails / per-agent quotas / circuit breakers)*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4. Validation risk</w:t>
      </w:r>
    </w:p>
    <w:p/>
    <w:p>
      <w:r>
        <w:t>The eval harness misses a class of failure. Outputs pass automated checks but fail in production.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*(adversarial cases in eval set / regular eval audits / meta-agent QA layer)*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5. Trust risk</w:t>
      </w:r>
    </w:p>
    <w:p/>
    <w:p>
      <w:r>
        <w:t>A customer-facing failure caused by AI output erodes trust faster than the same failure by human error. AI failures carry asymmetric reputational cost.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*(human-accountable sign-off / staged rollouts / transparent failure communication)*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6. Governance risk</w:t>
      </w:r>
    </w:p>
    <w:p/>
    <w:p>
      <w:r>
        <w:t>Regulatory environment shifts, customer-contract obligations evolve, or internal policy catches up. The program becomes non-compliant six months after launch because the rules changed.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*(governance as a continuous function / policy monitoring / compliance checkpoints)*</w:t>
      </w:r>
    </w:p>
    <w:p>
      <w:pPr>
        <w:pStyle w:val="ListBullet"/>
      </w:pPr>
      <w:r>
        <w:t>**Owner:**</w:t>
      </w:r>
    </w:p>
    <w:p/>
    <w:p>
      <w:pPr>
        <w:pStyle w:val="Heading3"/>
      </w:pPr>
      <w:r>
        <w:t>7. Talent risk</w:t>
      </w:r>
    </w:p>
    <w:p/>
    <w:p>
      <w:r>
        <w:t>The skills required (prompt engineering, eval design, model-behavior intuition) are scarce and concentrated. Their departure breaks the program.</w:t>
      </w:r>
    </w:p>
    <w:p/>
    <w:p>
      <w:pPr>
        <w:pStyle w:val="ListBullet"/>
      </w:pPr>
      <w:r>
        <w:t>**Current exposure:**</w:t>
      </w:r>
    </w:p>
    <w:p>
      <w:pPr>
        <w:pStyle w:val="ListBullet"/>
      </w:pPr>
      <w:r>
        <w:t>**Primary risk:**</w:t>
      </w:r>
    </w:p>
    <w:p>
      <w:pPr>
        <w:pStyle w:val="ListBullet"/>
      </w:pPr>
      <w:r>
        <w:t>**Mitigation:** *(documentation of model-behavior knowledge / cross-training / redundancy)*</w:t>
      </w:r>
    </w:p>
    <w:p>
      <w:pPr>
        <w:pStyle w:val="ListBullet"/>
      </w:pPr>
      <w:r>
        <w:t>**Owner:**</w:t>
      </w:r>
    </w:p>
    <w:p/>
    <w:p/>
    <w:p/>
    <w:p>
      <w:pPr>
        <w:pStyle w:val="Heading2"/>
      </w:pPr>
      <w:r>
        <w:rPr>
          <w:color w:val="C9A961"/>
        </w:rPr>
        <w:t>Gate-specific questions</w:t>
      </w:r>
    </w:p>
    <w:p/>
    <w:p>
      <w:pPr>
        <w:pStyle w:val="ListBullet"/>
      </w:pPr>
      <w:r>
        <w:t>**At Concept Commit:** Have we identified the risks in each category?</w:t>
      </w:r>
    </w:p>
    <w:p>
      <w:pPr>
        <w:pStyle w:val="ListBullet"/>
      </w:pPr>
      <w:r>
        <w:t>**At Runway Investigation:** Do we have mitigation paths for the top risks?</w:t>
      </w:r>
    </w:p>
    <w:p>
      <w:pPr>
        <w:pStyle w:val="ListBullet"/>
      </w:pPr>
      <w:r>
        <w:t>**At Architecture Commit:** Are the mitigations designed in?</w:t>
      </w:r>
    </w:p>
    <w:p>
      <w:pPr>
        <w:pStyle w:val="ListBullet"/>
      </w:pPr>
      <w:r>
        <w:t>**At Design Commit:** Are the mitigations broken down into workable items?</w:t>
      </w:r>
    </w:p>
    <w:p>
      <w:pPr>
        <w:pStyle w:val="ListBullet"/>
      </w:pPr>
      <w:r>
        <w:t>**At Execution Commit:** Are the mitigations operationalized and armed?</w:t>
      </w:r>
    </w:p>
    <w:p/>
    <w:p/>
    <w:p/>
    <w:p>
      <w:pPr>
        <w:pStyle w:val="Heading2"/>
      </w:pPr>
      <w:r>
        <w:rPr>
          <w:color w:val="C9A961"/>
        </w:rPr>
        <w:t>Reviewer sign-off</w:t>
      </w:r>
    </w:p>
    <w:p/>
    <w:p>
      <w:pPr>
        <w:pStyle w:val="ListBullet"/>
      </w:pPr>
      <w:r>
        <w:t>**Reviewed by:**</w:t>
      </w:r>
    </w:p>
    <w:p>
      <w:pPr>
        <w:pStyle w:val="ListBullet"/>
      </w:pPr>
      <w:r>
        <w:t>**Date:**</w:t>
      </w:r>
    </w:p>
    <w:p>
      <w:pPr>
        <w:pStyle w:val="ListBullet"/>
      </w:pPr>
      <w:r>
        <w:t>**Recommendation:** ADVANCE / HOLD / KILL</w:t>
      </w:r>
    </w:p>
    <w:p>
      <w:pPr>
        <w:pStyle w:val="ListBullet"/>
      </w:pPr>
      <w:r>
        <w:t>**Notes:**</w:t>
      </w:r>
    </w:p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